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8" w:type="dxa"/>
        <w:jc w:val="center"/>
        <w:tblLook w:val="04A0"/>
      </w:tblPr>
      <w:tblGrid>
        <w:gridCol w:w="1523"/>
        <w:gridCol w:w="3662"/>
        <w:gridCol w:w="5233"/>
      </w:tblGrid>
      <w:tr w:rsidR="00856096" w:rsidTr="00856096">
        <w:trPr>
          <w:trHeight w:val="1644"/>
          <w:jc w:val="center"/>
        </w:trPr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96" w:rsidRPr="00CA6DF8" w:rsidRDefault="00856096" w:rsidP="0085609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4177" cy="885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With Text New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6" cy="88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096" w:rsidRPr="00CA6DF8" w:rsidRDefault="00856096" w:rsidP="00856096">
            <w:pPr>
              <w:bidi w:val="0"/>
              <w:rPr>
                <w:sz w:val="24"/>
                <w:szCs w:val="24"/>
              </w:rPr>
            </w:pPr>
            <w:r w:rsidRPr="00CA1B4D">
              <w:rPr>
                <w:b/>
                <w:bCs/>
                <w:sz w:val="44"/>
                <w:szCs w:val="44"/>
              </w:rPr>
              <w:t>program Information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Type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Degree Based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C96D96">
              <w:rPr>
                <w:sz w:val="24"/>
                <w:szCs w:val="24"/>
              </w:rPr>
              <w:t>…………….....</w:t>
            </w:r>
            <w:proofErr w:type="gramEnd"/>
          </w:p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Non</w:t>
            </w:r>
            <w:r w:rsidR="008834F1">
              <w:rPr>
                <w:sz w:val="24"/>
                <w:szCs w:val="24"/>
              </w:rPr>
              <w:t xml:space="preserve"> </w:t>
            </w:r>
            <w:r w:rsidRPr="00CA6DF8">
              <w:rPr>
                <w:sz w:val="24"/>
                <w:szCs w:val="24"/>
              </w:rPr>
              <w:t>degree-Based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C96D96">
              <w:rPr>
                <w:sz w:val="24"/>
                <w:szCs w:val="24"/>
              </w:rPr>
              <w:t>……..…</w:t>
            </w:r>
            <w:proofErr w:type="gramEnd"/>
            <w:r w:rsidR="00C96D96">
              <w:rPr>
                <w:sz w:val="24"/>
                <w:szCs w:val="24"/>
              </w:rPr>
              <w:t>.</w:t>
            </w:r>
          </w:p>
        </w:tc>
        <w:tc>
          <w:tcPr>
            <w:tcW w:w="4656" w:type="dxa"/>
            <w:tcBorders>
              <w:left w:val="nil"/>
            </w:tcBorders>
            <w:vAlign w:val="center"/>
          </w:tcPr>
          <w:p w:rsidR="00CA1B4D" w:rsidRPr="00CA6DF8" w:rsidRDefault="000D548B" w:rsidP="00FE0F04">
            <w:pPr>
              <w:bidi w:val="0"/>
              <w:ind w:left="-1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■</w:t>
            </w: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Level of Study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Undergraduate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3BEC">
              <w:rPr>
                <w:color w:val="000000"/>
                <w:sz w:val="24"/>
                <w:szCs w:val="24"/>
              </w:rPr>
              <w:t>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proofErr w:type="gramEnd"/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Master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r w:rsidR="00FE0F04">
              <w:rPr>
                <w:color w:val="000000"/>
                <w:sz w:val="24"/>
                <w:szCs w:val="24"/>
              </w:rPr>
              <w:t>.</w:t>
            </w:r>
            <w:r w:rsidR="002E3BEC">
              <w:rPr>
                <w:color w:val="000000"/>
                <w:sz w:val="24"/>
                <w:szCs w:val="24"/>
              </w:rPr>
              <w:t>..</w:t>
            </w:r>
            <w:proofErr w:type="gramEnd"/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3BEC">
              <w:rPr>
                <w:color w:val="000000"/>
                <w:sz w:val="24"/>
                <w:szCs w:val="24"/>
              </w:rPr>
              <w:t>………………………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proofErr w:type="gramEnd"/>
            <w:r w:rsidR="002E3BEC">
              <w:rPr>
                <w:color w:val="000000"/>
                <w:sz w:val="24"/>
                <w:szCs w:val="24"/>
              </w:rPr>
              <w:t>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Post Doc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</w:t>
            </w:r>
            <w:proofErr w:type="gramEnd"/>
            <w:r w:rsidR="002E3BEC">
              <w:rPr>
                <w:color w:val="000000"/>
                <w:sz w:val="24"/>
                <w:szCs w:val="24"/>
              </w:rPr>
              <w:t>..</w:t>
            </w:r>
          </w:p>
          <w:p w:rsidR="00CA1B4D" w:rsidRPr="00CA6DF8" w:rsidRDefault="008834F1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3BEC">
              <w:rPr>
                <w:color w:val="000000"/>
                <w:sz w:val="24"/>
                <w:szCs w:val="24"/>
              </w:rPr>
              <w:t>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proofErr w:type="gramEnd"/>
            <w:r w:rsidR="002E3BEC">
              <w:rPr>
                <w:color w:val="000000"/>
                <w:sz w:val="24"/>
                <w:szCs w:val="24"/>
              </w:rPr>
              <w:t>.</w:t>
            </w:r>
          </w:p>
          <w:p w:rsidR="00CA1B4D" w:rsidRPr="00CA6DF8" w:rsidRDefault="008834F1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Subspecial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proofErr w:type="gramEnd"/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AE63D4">
              <w:rPr>
                <w:b/>
                <w:bCs/>
                <w:color w:val="000000"/>
                <w:sz w:val="24"/>
                <w:szCs w:val="24"/>
              </w:rPr>
              <w:t>Fellowship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3BEC">
              <w:rPr>
                <w:color w:val="000000"/>
                <w:sz w:val="24"/>
                <w:szCs w:val="24"/>
              </w:rPr>
              <w:t>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proofErr w:type="gramEnd"/>
            <w:r w:rsidR="002E3BEC">
              <w:rPr>
                <w:color w:val="000000"/>
                <w:sz w:val="24"/>
                <w:szCs w:val="24"/>
              </w:rPr>
              <w:t>..</w:t>
            </w:r>
          </w:p>
          <w:p w:rsidR="00CA1B4D" w:rsidRPr="00AE63D4" w:rsidRDefault="00CA1B4D" w:rsidP="005B0D88">
            <w:pPr>
              <w:bidi w:val="0"/>
              <w:spacing w:after="40" w:line="276" w:lineRule="auto"/>
              <w:ind w:right="-201"/>
              <w:rPr>
                <w:b/>
                <w:bCs/>
                <w:color w:val="000000"/>
                <w:sz w:val="24"/>
                <w:szCs w:val="24"/>
              </w:rPr>
            </w:pPr>
            <w:r w:rsidRPr="00AE63D4">
              <w:rPr>
                <w:b/>
                <w:bCs/>
                <w:color w:val="000000"/>
                <w:sz w:val="24"/>
                <w:szCs w:val="24"/>
              </w:rPr>
              <w:t xml:space="preserve">Short term Course </w:t>
            </w:r>
            <w:r w:rsidR="005B0D88" w:rsidRPr="00AE63D4">
              <w:rPr>
                <w:b/>
                <w:bCs/>
                <w:color w:val="000000"/>
                <w:sz w:val="24"/>
                <w:szCs w:val="24"/>
              </w:rPr>
              <w:t>3 to 12 months</w:t>
            </w:r>
            <w:r w:rsidR="008834F1">
              <w:rPr>
                <w:rFonts w:ascii="Times New Roman" w:hAnsi="Times New Roman" w:cs="Times New Roman"/>
                <w:sz w:val="36"/>
                <w:szCs w:val="36"/>
              </w:rPr>
              <w:t>■</w:t>
            </w:r>
          </w:p>
        </w:tc>
        <w:tc>
          <w:tcPr>
            <w:tcW w:w="4656" w:type="dxa"/>
            <w:tcBorders>
              <w:left w:val="nil"/>
            </w:tcBorders>
          </w:tcPr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Pr="00CA6DF8" w:rsidRDefault="000D548B" w:rsidP="000D548B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■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0D548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Medicine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0D548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Ophthalmology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Major/ Name of Program</w:t>
            </w:r>
          </w:p>
        </w:tc>
        <w:tc>
          <w:tcPr>
            <w:tcW w:w="7250" w:type="dxa"/>
            <w:gridSpan w:val="2"/>
            <w:vAlign w:val="center"/>
          </w:tcPr>
          <w:p w:rsidR="00247EC2" w:rsidRPr="00247EC2" w:rsidRDefault="00247EC2" w:rsidP="008834F1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7EC2">
              <w:rPr>
                <w:rFonts w:ascii="Arial" w:hAnsi="Arial" w:cs="Arial"/>
                <w:b/>
                <w:bCs/>
              </w:rPr>
              <w:t>International Council of Ophthalmology (ICO)</w:t>
            </w:r>
            <w:r w:rsidRPr="00247EC2">
              <w:rPr>
                <w:b/>
                <w:bCs/>
                <w:color w:val="000000"/>
                <w:sz w:val="24"/>
                <w:szCs w:val="24"/>
              </w:rPr>
              <w:t xml:space="preserve"> Fellowship:</w:t>
            </w:r>
          </w:p>
          <w:p w:rsidR="000372A9" w:rsidRDefault="00247EC2" w:rsidP="00247EC2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Cornea and </w:t>
            </w:r>
            <w:r w:rsidR="000D548B">
              <w:rPr>
                <w:color w:val="000000"/>
                <w:sz w:val="24"/>
                <w:szCs w:val="24"/>
              </w:rPr>
              <w:t>Ocular Surface Fellowship</w:t>
            </w:r>
          </w:p>
          <w:p w:rsidR="00247EC2" w:rsidRPr="00CA6DF8" w:rsidRDefault="00247EC2" w:rsidP="00247EC2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Cataract and Refractive Surgery Fellowship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Keyword</w:t>
            </w:r>
            <w:r w:rsidR="00F10FC9">
              <w:rPr>
                <w:b/>
                <w:bCs/>
                <w:sz w:val="24"/>
                <w:szCs w:val="24"/>
              </w:rPr>
              <w:t xml:space="preserve">s </w:t>
            </w:r>
            <w:r w:rsidRPr="00CA6DF8">
              <w:rPr>
                <w:b/>
                <w:bCs/>
                <w:sz w:val="24"/>
                <w:szCs w:val="24"/>
              </w:rPr>
              <w:t>(3 Words)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0D548B" w:rsidP="000D548B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Cornea; </w:t>
            </w:r>
            <w:r w:rsidR="00247EC2">
              <w:rPr>
                <w:color w:val="000000"/>
                <w:sz w:val="24"/>
                <w:szCs w:val="24"/>
              </w:rPr>
              <w:t xml:space="preserve">Cataract, </w:t>
            </w:r>
            <w:r>
              <w:rPr>
                <w:color w:val="000000"/>
                <w:sz w:val="24"/>
                <w:szCs w:val="24"/>
              </w:rPr>
              <w:t>Ocular Surface; Refractive Surgery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Language Requir</w:t>
            </w:r>
            <w:r w:rsidR="00F10FC9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0D548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English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Admission Requir</w:t>
            </w:r>
            <w:r w:rsidR="00F10FC9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5B0D88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</w:rPr>
              <w:t>completion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C6DE4">
              <w:rPr>
                <w:color w:val="000000"/>
                <w:sz w:val="24"/>
                <w:szCs w:val="24"/>
              </w:rPr>
              <w:t>of ophthalmology residency</w:t>
            </w:r>
            <w:r>
              <w:rPr>
                <w:color w:val="000000"/>
                <w:sz w:val="24"/>
                <w:szCs w:val="24"/>
              </w:rPr>
              <w:t>, Fluency in English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vMerge w:val="restart"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Phone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0D548B">
              <w:rPr>
                <w:color w:val="000000"/>
                <w:sz w:val="24"/>
                <w:szCs w:val="24"/>
              </w:rPr>
              <w:t xml:space="preserve"> 0098-51-37281400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Fax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0D548B">
              <w:rPr>
                <w:color w:val="000000"/>
                <w:sz w:val="24"/>
                <w:szCs w:val="24"/>
              </w:rPr>
              <w:t xml:space="preserve"> 0098-51-37281401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Mobile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0D548B">
              <w:rPr>
                <w:color w:val="000000"/>
                <w:sz w:val="24"/>
                <w:szCs w:val="24"/>
              </w:rPr>
              <w:t xml:space="preserve"> 0098-915-115-3024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Email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0D548B">
              <w:rPr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="000D548B" w:rsidRPr="00B64E6F">
                <w:rPr>
                  <w:rStyle w:val="Hyperlink"/>
                  <w:sz w:val="24"/>
                  <w:szCs w:val="24"/>
                </w:rPr>
                <w:t>zareis@mums.ac.ir</w:t>
              </w:r>
            </w:hyperlink>
            <w:r w:rsidR="000D548B">
              <w:rPr>
                <w:color w:val="000000"/>
                <w:sz w:val="24"/>
                <w:szCs w:val="24"/>
              </w:rPr>
              <w:t>; siamakzarei@gmail.com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0D548B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Address</w:t>
            </w:r>
            <w:r w:rsidR="005A5A4E">
              <w:rPr>
                <w:color w:val="000000"/>
                <w:sz w:val="24"/>
                <w:szCs w:val="24"/>
              </w:rPr>
              <w:t xml:space="preserve"> 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Khatam</w:t>
            </w:r>
            <w:proofErr w:type="spellEnd"/>
            <w:r>
              <w:rPr>
                <w:color w:val="000000"/>
                <w:sz w:val="24"/>
                <w:szCs w:val="24"/>
              </w:rPr>
              <w:t>-al-</w:t>
            </w:r>
            <w:proofErr w:type="spellStart"/>
            <w:r>
              <w:rPr>
                <w:color w:val="000000"/>
                <w:sz w:val="24"/>
                <w:szCs w:val="24"/>
              </w:rPr>
              <w:t>Anbia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Eye Hospital, </w:t>
            </w:r>
            <w:proofErr w:type="spellStart"/>
            <w:r>
              <w:rPr>
                <w:color w:val="000000"/>
                <w:sz w:val="24"/>
                <w:szCs w:val="24"/>
              </w:rPr>
              <w:t>Abootaleb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Blvd, Mashhad, Iran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Contact Person Name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0D54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548B">
              <w:rPr>
                <w:color w:val="000000"/>
                <w:sz w:val="24"/>
                <w:szCs w:val="24"/>
              </w:rPr>
              <w:t>Siamak</w:t>
            </w:r>
            <w:proofErr w:type="spellEnd"/>
            <w:r w:rsidR="000D54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548B">
              <w:rPr>
                <w:color w:val="000000"/>
                <w:sz w:val="24"/>
                <w:szCs w:val="24"/>
              </w:rPr>
              <w:t>Zarei-Ghanavati</w:t>
            </w:r>
            <w:proofErr w:type="spellEnd"/>
            <w:r w:rsidR="000D548B">
              <w:rPr>
                <w:color w:val="000000"/>
                <w:sz w:val="24"/>
                <w:szCs w:val="24"/>
              </w:rPr>
              <w:t>; MD, FICO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Description (500 words)</w:t>
            </w:r>
          </w:p>
        </w:tc>
        <w:tc>
          <w:tcPr>
            <w:tcW w:w="7250" w:type="dxa"/>
            <w:gridSpan w:val="2"/>
            <w:vAlign w:val="center"/>
          </w:tcPr>
          <w:p w:rsidR="00BC6DE4" w:rsidRPr="008834F1" w:rsidRDefault="00247EC2" w:rsidP="008834F1">
            <w:pPr>
              <w:shd w:val="clear" w:color="auto" w:fill="FFFFFF"/>
              <w:bidi w:val="0"/>
              <w:spacing w:after="24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The International Council of Ophthalmology (ICO) Fellowships Program </w:t>
            </w:r>
            <w:proofErr w:type="gramStart"/>
            <w:r w:rsidRPr="008834F1">
              <w:rPr>
                <w:rFonts w:ascii="Times New Roman" w:eastAsia="Times New Roman" w:hAnsi="Times New Roman" w:cs="Times New Roman"/>
                <w:lang w:bidi="ar-SA"/>
              </w:rPr>
              <w:t>was organized</w:t>
            </w:r>
            <w:proofErr w:type="gramEnd"/>
            <w:r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 to help promising young ophthalmologists from developing countries</w:t>
            </w:r>
            <w:r w:rsidR="008834F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 improve their practical skills</w:t>
            </w:r>
            <w:r w:rsidR="008834F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 and</w:t>
            </w:r>
            <w:r w:rsidR="00F10FC9">
              <w:rPr>
                <w:rFonts w:ascii="Times New Roman" w:eastAsia="Times New Roman" w:hAnsi="Times New Roman" w:cs="Times New Roman"/>
                <w:lang w:bidi="ar-SA"/>
              </w:rPr>
              <w:t xml:space="preserve"> broaden their perspectives of O</w:t>
            </w:r>
            <w:r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phthalmology.  Fellows </w:t>
            </w:r>
            <w:proofErr w:type="gramStart"/>
            <w:r w:rsidRPr="008834F1">
              <w:rPr>
                <w:rFonts w:ascii="Times New Roman" w:eastAsia="Times New Roman" w:hAnsi="Times New Roman" w:cs="Times New Roman"/>
                <w:lang w:bidi="ar-SA"/>
              </w:rPr>
              <w:t>are expected</w:t>
            </w:r>
            <w:proofErr w:type="gramEnd"/>
            <w:r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 to bring the acquired knowledge and skills back to their home countries and take part in programs to preserve vision and prevent blindness. The program </w:t>
            </w:r>
            <w:proofErr w:type="gramStart"/>
            <w:r w:rsidRPr="008834F1">
              <w:rPr>
                <w:rFonts w:ascii="Times New Roman" w:eastAsia="Times New Roman" w:hAnsi="Times New Roman" w:cs="Times New Roman"/>
                <w:lang w:bidi="ar-SA"/>
              </w:rPr>
              <w:t>is intended</w:t>
            </w:r>
            <w:proofErr w:type="gramEnd"/>
            <w:r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 to be flexible to meet the needs of individuals</w:t>
            </w:r>
            <w:r w:rsidR="008834F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 and the duration is 3 to 12 months depend</w:t>
            </w:r>
            <w:r w:rsidR="008834F1">
              <w:rPr>
                <w:rFonts w:ascii="Times New Roman" w:eastAsia="Times New Roman" w:hAnsi="Times New Roman" w:cs="Times New Roman"/>
                <w:lang w:bidi="ar-SA"/>
              </w:rPr>
              <w:t>ing</w:t>
            </w:r>
            <w:r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 on international fellows’ needs.</w:t>
            </w:r>
            <w:r w:rsidR="00EC2CC4"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:rsidR="00BC6DE4" w:rsidRPr="008834F1" w:rsidRDefault="00BC6DE4" w:rsidP="008834F1">
            <w:pPr>
              <w:shd w:val="clear" w:color="auto" w:fill="FFFFFF"/>
              <w:bidi w:val="0"/>
              <w:spacing w:after="24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247EC2" w:rsidRPr="008834F1" w:rsidRDefault="00EC2CC4" w:rsidP="008834F1">
            <w:pPr>
              <w:shd w:val="clear" w:color="auto" w:fill="FFFFFF"/>
              <w:bidi w:val="0"/>
              <w:spacing w:after="24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8834F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Mashhad University of Medical Sciences is among the rare ICO fellowship center</w:t>
            </w:r>
            <w:r w:rsidR="00BC6DE4" w:rsidRPr="008834F1">
              <w:rPr>
                <w:rFonts w:ascii="Times New Roman" w:eastAsia="Times New Roman" w:hAnsi="Times New Roman" w:cs="Times New Roman"/>
                <w:lang w:bidi="ar-SA"/>
              </w:rPr>
              <w:t>s</w:t>
            </w:r>
            <w:r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 in the Middle East. </w:t>
            </w:r>
            <w:r w:rsidR="00BC6DE4"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Several international fellows from different countries </w:t>
            </w:r>
            <w:proofErr w:type="gramStart"/>
            <w:r w:rsidR="00BC6DE4" w:rsidRPr="008834F1">
              <w:rPr>
                <w:rFonts w:ascii="Times New Roman" w:eastAsia="Times New Roman" w:hAnsi="Times New Roman" w:cs="Times New Roman"/>
                <w:lang w:bidi="ar-SA"/>
              </w:rPr>
              <w:t>have been trained</w:t>
            </w:r>
            <w:proofErr w:type="gramEnd"/>
            <w:r w:rsidR="00BC6DE4"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 in the university up to now.</w:t>
            </w:r>
          </w:p>
          <w:p w:rsidR="00BC6DE4" w:rsidRPr="008834F1" w:rsidRDefault="00BC6DE4" w:rsidP="008834F1">
            <w:pPr>
              <w:shd w:val="clear" w:color="auto" w:fill="FFFFFF"/>
              <w:bidi w:val="0"/>
              <w:spacing w:after="24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8834F1">
              <w:rPr>
                <w:rFonts w:ascii="Times New Roman" w:eastAsia="Times New Roman" w:hAnsi="Times New Roman" w:cs="Times New Roman"/>
                <w:lang w:bidi="ar-SA"/>
              </w:rPr>
              <w:t>Fellows will receive 4000-5000$/3months from ICO to cover their ex</w:t>
            </w:r>
            <w:r w:rsidR="00F10FC9">
              <w:rPr>
                <w:rFonts w:ascii="Times New Roman" w:eastAsia="Times New Roman" w:hAnsi="Times New Roman" w:cs="Times New Roman"/>
                <w:lang w:bidi="ar-SA"/>
              </w:rPr>
              <w:t>penses during fellowship and a D</w:t>
            </w:r>
            <w:r w:rsidRPr="008834F1">
              <w:rPr>
                <w:rFonts w:ascii="Times New Roman" w:eastAsia="Times New Roman" w:hAnsi="Times New Roman" w:cs="Times New Roman"/>
                <w:lang w:bidi="ar-SA"/>
              </w:rPr>
              <w:t>iploma will be granted at the end of the course.</w:t>
            </w:r>
          </w:p>
          <w:p w:rsidR="000372A9" w:rsidRPr="008834F1" w:rsidRDefault="00BC6DE4" w:rsidP="008834F1">
            <w:pPr>
              <w:shd w:val="clear" w:color="auto" w:fill="FFFFFF"/>
              <w:bidi w:val="0"/>
              <w:spacing w:after="24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8834F1">
              <w:rPr>
                <w:rFonts w:ascii="Times New Roman" w:eastAsia="Times New Roman" w:hAnsi="Times New Roman" w:cs="Times New Roman"/>
                <w:lang w:bidi="ar-SA"/>
              </w:rPr>
              <w:t>The fellowship position is available for non-ICO applicants</w:t>
            </w:r>
            <w:r w:rsidR="00AE63D4"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 too</w:t>
            </w:r>
            <w:r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. However, the </w:t>
            </w:r>
            <w:r w:rsidR="0039762E" w:rsidRPr="008834F1">
              <w:rPr>
                <w:rFonts w:ascii="Times New Roman" w:eastAsia="Times New Roman" w:hAnsi="Times New Roman" w:cs="Times New Roman"/>
                <w:lang w:bidi="ar-SA"/>
              </w:rPr>
              <w:t>fellowship</w:t>
            </w:r>
            <w:r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39762E" w:rsidRPr="008834F1">
              <w:rPr>
                <w:rFonts w:ascii="Times New Roman" w:eastAsia="Times New Roman" w:hAnsi="Times New Roman" w:cs="Times New Roman"/>
                <w:lang w:bidi="ar-SA"/>
              </w:rPr>
              <w:t>is unfounded</w:t>
            </w:r>
            <w:r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39762E" w:rsidRPr="008834F1">
              <w:rPr>
                <w:rFonts w:ascii="Times New Roman" w:eastAsia="Times New Roman" w:hAnsi="Times New Roman" w:cs="Times New Roman"/>
                <w:lang w:bidi="ar-SA"/>
              </w:rPr>
              <w:t>and the fellows</w:t>
            </w:r>
            <w:r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AE63D4"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will pay their </w:t>
            </w:r>
            <w:bookmarkStart w:id="0" w:name="_GoBack"/>
            <w:bookmarkEnd w:id="0"/>
            <w:r w:rsidR="00AE63D4"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living and travel expenses. </w:t>
            </w:r>
            <w:r w:rsidR="0039762E"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In this case, they must send their application directly to Dr </w:t>
            </w:r>
            <w:proofErr w:type="spellStart"/>
            <w:r w:rsidR="0039762E" w:rsidRPr="008834F1">
              <w:rPr>
                <w:rFonts w:ascii="Times New Roman" w:eastAsia="Times New Roman" w:hAnsi="Times New Roman" w:cs="Times New Roman"/>
                <w:lang w:bidi="ar-SA"/>
              </w:rPr>
              <w:t>Siamak</w:t>
            </w:r>
            <w:proofErr w:type="spellEnd"/>
            <w:r w:rsidR="0039762E"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="0039762E" w:rsidRPr="008834F1">
              <w:rPr>
                <w:rFonts w:ascii="Times New Roman" w:eastAsia="Times New Roman" w:hAnsi="Times New Roman" w:cs="Times New Roman"/>
                <w:lang w:bidi="ar-SA"/>
              </w:rPr>
              <w:t>Zarei-Ghanavati</w:t>
            </w:r>
            <w:proofErr w:type="spellEnd"/>
            <w:r w:rsidR="0039762E"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 through email.</w:t>
            </w:r>
            <w:r w:rsidRPr="008834F1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lastRenderedPageBreak/>
              <w:t>Complete Description</w:t>
            </w:r>
          </w:p>
        </w:tc>
        <w:tc>
          <w:tcPr>
            <w:tcW w:w="7250" w:type="dxa"/>
            <w:gridSpan w:val="2"/>
            <w:vAlign w:val="center"/>
          </w:tcPr>
          <w:p w:rsidR="000D548B" w:rsidRPr="000D548B" w:rsidRDefault="00F10FC9" w:rsidP="005A5A4E">
            <w:pPr>
              <w:bidi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Please visit bel</w:t>
            </w:r>
            <w:r w:rsidR="000D548B" w:rsidRPr="000D548B">
              <w:rPr>
                <w:b/>
                <w:bCs/>
                <w:color w:val="000000"/>
                <w:sz w:val="18"/>
                <w:szCs w:val="18"/>
              </w:rPr>
              <w:t>ow website:</w:t>
            </w:r>
          </w:p>
          <w:p w:rsidR="000372A9" w:rsidRPr="00CA6DF8" w:rsidRDefault="000D548B" w:rsidP="000D548B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 w:rsidRPr="000D548B">
              <w:rPr>
                <w:color w:val="000000"/>
                <w:sz w:val="18"/>
                <w:szCs w:val="18"/>
              </w:rPr>
              <w:t>http://www.icoph.org/refocusing_education/fellowships/fellowship_host_directory/fellowship_host_detail/99/ZAREI-GHANAVATI-Siamak-MD-FICO.html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Detail</w:t>
            </w:r>
          </w:p>
        </w:tc>
        <w:tc>
          <w:tcPr>
            <w:tcW w:w="7250" w:type="dxa"/>
            <w:gridSpan w:val="2"/>
            <w:vAlign w:val="center"/>
          </w:tcPr>
          <w:p w:rsidR="00247EC2" w:rsidRPr="00247EC2" w:rsidRDefault="00247EC2" w:rsidP="00247EC2">
            <w:pPr>
              <w:shd w:val="clear" w:color="auto" w:fill="FFFFFF"/>
              <w:bidi w:val="0"/>
              <w:spacing w:before="360" w:after="60"/>
              <w:outlineLvl w:val="1"/>
              <w:rPr>
                <w:rFonts w:ascii="Arial" w:eastAsia="Times New Roman" w:hAnsi="Arial" w:cs="Arial"/>
                <w:color w:val="C75B12"/>
                <w:sz w:val="24"/>
                <w:szCs w:val="24"/>
                <w:lang w:bidi="ar-SA"/>
              </w:rPr>
            </w:pPr>
            <w:r w:rsidRPr="00247EC2">
              <w:rPr>
                <w:rFonts w:ascii="Arial" w:eastAsia="Times New Roman" w:hAnsi="Arial" w:cs="Arial"/>
                <w:color w:val="C75B12"/>
                <w:sz w:val="24"/>
                <w:szCs w:val="24"/>
                <w:lang w:bidi="ar-SA"/>
              </w:rPr>
              <w:t>Regular Teaching Events</w:t>
            </w:r>
          </w:p>
          <w:p w:rsidR="00247EC2" w:rsidRPr="00247EC2" w:rsidRDefault="00247EC2" w:rsidP="00247EC2">
            <w:pPr>
              <w:shd w:val="clear" w:color="auto" w:fill="FFFFFF"/>
              <w:bidi w:val="0"/>
              <w:spacing w:after="24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47EC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 Hours per Week</w:t>
            </w:r>
          </w:p>
          <w:p w:rsidR="00247EC2" w:rsidRPr="00247EC2" w:rsidRDefault="00247EC2" w:rsidP="00247EC2">
            <w:pPr>
              <w:numPr>
                <w:ilvl w:val="0"/>
                <w:numId w:val="1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16" name="Picture 16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Morning Reports</w:t>
            </w:r>
          </w:p>
          <w:p w:rsidR="00247EC2" w:rsidRPr="00247EC2" w:rsidRDefault="00247EC2" w:rsidP="00247EC2">
            <w:pPr>
              <w:numPr>
                <w:ilvl w:val="0"/>
                <w:numId w:val="1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15" name="Picture 15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Grand Rounds</w:t>
            </w:r>
          </w:p>
          <w:p w:rsidR="00247EC2" w:rsidRPr="00247EC2" w:rsidRDefault="00247EC2" w:rsidP="00247EC2">
            <w:pPr>
              <w:numPr>
                <w:ilvl w:val="0"/>
                <w:numId w:val="1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14" name="Picture 14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Clinical Sessions</w:t>
            </w:r>
          </w:p>
          <w:p w:rsidR="00247EC2" w:rsidRPr="00247EC2" w:rsidRDefault="00247EC2" w:rsidP="00247EC2">
            <w:pPr>
              <w:numPr>
                <w:ilvl w:val="0"/>
                <w:numId w:val="1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13" name="Picture 13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Photo</w:t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Conferences</w:t>
            </w:r>
          </w:p>
          <w:p w:rsidR="00247EC2" w:rsidRPr="00247EC2" w:rsidRDefault="00247EC2" w:rsidP="00247EC2">
            <w:pPr>
              <w:numPr>
                <w:ilvl w:val="0"/>
                <w:numId w:val="1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12" name="Picture 12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Journal Club</w:t>
            </w:r>
          </w:p>
          <w:p w:rsidR="00247EC2" w:rsidRPr="00247EC2" w:rsidRDefault="00247EC2" w:rsidP="00247EC2">
            <w:pPr>
              <w:numPr>
                <w:ilvl w:val="0"/>
                <w:numId w:val="1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11" name="Picture 11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Lectures</w:t>
            </w:r>
          </w:p>
          <w:p w:rsidR="00247EC2" w:rsidRPr="00247EC2" w:rsidRDefault="00247EC2" w:rsidP="00247EC2">
            <w:pPr>
              <w:numPr>
                <w:ilvl w:val="0"/>
                <w:numId w:val="2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10" name="Picture 10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Case Presentations</w:t>
            </w:r>
          </w:p>
          <w:p w:rsidR="00247EC2" w:rsidRPr="00247EC2" w:rsidRDefault="00247EC2" w:rsidP="00247EC2">
            <w:pPr>
              <w:numPr>
                <w:ilvl w:val="0"/>
                <w:numId w:val="2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9" name="Picture 9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Surgery Conferences</w:t>
            </w:r>
          </w:p>
          <w:p w:rsidR="00247EC2" w:rsidRPr="00247EC2" w:rsidRDefault="00247EC2" w:rsidP="00247EC2">
            <w:pPr>
              <w:numPr>
                <w:ilvl w:val="0"/>
                <w:numId w:val="2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8" name="Picture 8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Conferences of Complications</w:t>
            </w:r>
          </w:p>
          <w:p w:rsidR="00247EC2" w:rsidRPr="00247EC2" w:rsidRDefault="00247EC2" w:rsidP="00247EC2">
            <w:pPr>
              <w:numPr>
                <w:ilvl w:val="0"/>
                <w:numId w:val="2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7" name="Picture 7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Video Conferences</w:t>
            </w:r>
          </w:p>
          <w:p w:rsidR="00247EC2" w:rsidRPr="00247EC2" w:rsidRDefault="00247EC2" w:rsidP="00247EC2">
            <w:pPr>
              <w:numPr>
                <w:ilvl w:val="0"/>
                <w:numId w:val="2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6" name="Picture 6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Research Conferences</w:t>
            </w:r>
          </w:p>
          <w:p w:rsidR="00247EC2" w:rsidRPr="00247EC2" w:rsidRDefault="00247EC2" w:rsidP="00247EC2">
            <w:pPr>
              <w:numPr>
                <w:ilvl w:val="0"/>
                <w:numId w:val="2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5" name="Picture 5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(Subspecialty) Seminars / Tutorials</w:t>
            </w:r>
          </w:p>
          <w:p w:rsidR="00247EC2" w:rsidRPr="00247EC2" w:rsidRDefault="00247EC2" w:rsidP="00247EC2">
            <w:pPr>
              <w:shd w:val="clear" w:color="auto" w:fill="FFFFFF"/>
              <w:bidi w:val="0"/>
              <w:spacing w:before="360" w:after="60"/>
              <w:outlineLvl w:val="1"/>
              <w:rPr>
                <w:rFonts w:ascii="Arial" w:eastAsia="Times New Roman" w:hAnsi="Arial" w:cs="Arial"/>
                <w:color w:val="C75B12"/>
                <w:sz w:val="24"/>
                <w:szCs w:val="24"/>
                <w:lang w:bidi="ar-SA"/>
              </w:rPr>
            </w:pPr>
            <w:r w:rsidRPr="00247EC2">
              <w:rPr>
                <w:rFonts w:ascii="Arial" w:eastAsia="Times New Roman" w:hAnsi="Arial" w:cs="Arial"/>
                <w:color w:val="C75B12"/>
                <w:sz w:val="24"/>
                <w:szCs w:val="24"/>
                <w:lang w:bidi="ar-SA"/>
              </w:rPr>
              <w:t>ICO Fellowships Offered</w:t>
            </w:r>
          </w:p>
          <w:p w:rsidR="00247EC2" w:rsidRPr="00247EC2" w:rsidRDefault="00247EC2" w:rsidP="00247EC2">
            <w:pPr>
              <w:numPr>
                <w:ilvl w:val="0"/>
                <w:numId w:val="3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4" name="Picture 4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Observership</w:t>
            </w:r>
            <w:proofErr w:type="spellEnd"/>
          </w:p>
          <w:p w:rsidR="00247EC2" w:rsidRPr="00247EC2" w:rsidRDefault="00247EC2" w:rsidP="00247EC2">
            <w:pPr>
              <w:numPr>
                <w:ilvl w:val="0"/>
                <w:numId w:val="3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3" name="Picture 3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Clinical Exposures</w:t>
            </w:r>
          </w:p>
          <w:p w:rsidR="00247EC2" w:rsidRPr="00247EC2" w:rsidRDefault="00247EC2" w:rsidP="00247EC2">
            <w:pPr>
              <w:numPr>
                <w:ilvl w:val="0"/>
                <w:numId w:val="3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2" name="Picture 2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Surgical Exposure</w:t>
            </w:r>
          </w:p>
          <w:p w:rsidR="00247EC2" w:rsidRDefault="00247EC2" w:rsidP="00247EC2">
            <w:pPr>
              <w:pStyle w:val="Heading2"/>
              <w:shd w:val="clear" w:color="auto" w:fill="FFFFFF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Subspecialties</w:t>
            </w:r>
          </w:p>
          <w:tbl>
            <w:tblPr>
              <w:tblW w:w="5000" w:type="pct"/>
              <w:tblBorders>
                <w:bottom w:val="single" w:sz="12" w:space="0" w:color="CECAC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03"/>
              <w:gridCol w:w="1414"/>
              <w:gridCol w:w="981"/>
              <w:gridCol w:w="3181"/>
            </w:tblGrid>
            <w:tr w:rsidR="00247EC2" w:rsidTr="00247EC2">
              <w:tc>
                <w:tcPr>
                  <w:tcW w:w="0" w:type="auto"/>
                  <w:vMerge w:val="restart"/>
                  <w:tcBorders>
                    <w:bottom w:val="single" w:sz="12" w:space="0" w:color="CECAC7"/>
                  </w:tcBorders>
                  <w:shd w:val="clear" w:color="auto" w:fill="FFFFFF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bottom"/>
                  <w:hideMark/>
                </w:tcPr>
                <w:p w:rsidR="00247EC2" w:rsidRDefault="00247EC2" w:rsidP="00247EC2">
                  <w:pPr>
                    <w:bidi w:val="0"/>
                    <w:rPr>
                      <w:rFonts w:ascii="Arial" w:hAnsi="Arial" w:cs="Arial"/>
                      <w:b/>
                      <w:bCs/>
                      <w:color w:val="4E372E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E372E"/>
                      <w:sz w:val="20"/>
                      <w:szCs w:val="20"/>
                    </w:rPr>
                    <w:t>Subspecialty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nil"/>
                  </w:tcBorders>
                  <w:shd w:val="clear" w:color="auto" w:fill="FFFFFF"/>
                  <w:tcMar>
                    <w:top w:w="120" w:type="dxa"/>
                    <w:left w:w="60" w:type="dxa"/>
                    <w:bottom w:w="0" w:type="dxa"/>
                    <w:right w:w="60" w:type="dxa"/>
                  </w:tcMar>
                  <w:vAlign w:val="bottom"/>
                  <w:hideMark/>
                </w:tcPr>
                <w:p w:rsidR="00247EC2" w:rsidRDefault="00247EC2" w:rsidP="00247EC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color w:val="4E372E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E372E"/>
                      <w:sz w:val="20"/>
                      <w:szCs w:val="20"/>
                    </w:rPr>
                    <w:t>Fellowship Duration</w:t>
                  </w:r>
                </w:p>
              </w:tc>
              <w:tc>
                <w:tcPr>
                  <w:tcW w:w="0" w:type="auto"/>
                  <w:vMerge w:val="restart"/>
                  <w:tcBorders>
                    <w:bottom w:val="single" w:sz="12" w:space="0" w:color="CECAC7"/>
                  </w:tcBorders>
                  <w:shd w:val="clear" w:color="auto" w:fill="FFFFFF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bottom"/>
                  <w:hideMark/>
                </w:tcPr>
                <w:p w:rsidR="00247EC2" w:rsidRDefault="00247EC2" w:rsidP="00247EC2">
                  <w:pPr>
                    <w:bidi w:val="0"/>
                    <w:rPr>
                      <w:rFonts w:ascii="Arial" w:hAnsi="Arial" w:cs="Arial"/>
                      <w:b/>
                      <w:bCs/>
                      <w:color w:val="4E372E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E372E"/>
                      <w:sz w:val="20"/>
                      <w:szCs w:val="20"/>
                    </w:rPr>
                    <w:t>Fellowship Supervisor</w:t>
                  </w:r>
                </w:p>
              </w:tc>
            </w:tr>
            <w:tr w:rsidR="00247EC2" w:rsidTr="00247EC2">
              <w:tc>
                <w:tcPr>
                  <w:tcW w:w="0" w:type="auto"/>
                  <w:vMerge/>
                  <w:tcBorders>
                    <w:bottom w:val="single" w:sz="12" w:space="0" w:color="CECAC7"/>
                  </w:tcBorders>
                  <w:vAlign w:val="center"/>
                  <w:hideMark/>
                </w:tcPr>
                <w:p w:rsidR="00247EC2" w:rsidRDefault="00247EC2" w:rsidP="00247EC2">
                  <w:pPr>
                    <w:rPr>
                      <w:rFonts w:ascii="Arial" w:hAnsi="Arial" w:cs="Arial"/>
                      <w:b/>
                      <w:bCs/>
                      <w:color w:val="4E372E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12" w:space="0" w:color="CECAC7"/>
                  </w:tcBorders>
                  <w:shd w:val="clear" w:color="auto" w:fill="FFFFFF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bottom"/>
                  <w:hideMark/>
                </w:tcPr>
                <w:p w:rsidR="00247EC2" w:rsidRDefault="00247EC2" w:rsidP="00247EC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color w:val="4E372E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E372E"/>
                      <w:sz w:val="20"/>
                      <w:szCs w:val="20"/>
                    </w:rPr>
                    <w:t>3 months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CECAC7"/>
                  </w:tcBorders>
                  <w:shd w:val="clear" w:color="auto" w:fill="FFFFFF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bottom"/>
                  <w:hideMark/>
                </w:tcPr>
                <w:p w:rsidR="00247EC2" w:rsidRDefault="00247EC2" w:rsidP="00247EC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color w:val="4E372E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E372E"/>
                      <w:sz w:val="20"/>
                      <w:szCs w:val="20"/>
                    </w:rPr>
                    <w:t>1 year</w:t>
                  </w:r>
                </w:p>
              </w:tc>
              <w:tc>
                <w:tcPr>
                  <w:tcW w:w="0" w:type="auto"/>
                  <w:vMerge/>
                  <w:tcBorders>
                    <w:bottom w:val="single" w:sz="12" w:space="0" w:color="CECAC7"/>
                  </w:tcBorders>
                  <w:vAlign w:val="center"/>
                  <w:hideMark/>
                </w:tcPr>
                <w:p w:rsidR="00247EC2" w:rsidRDefault="00247EC2" w:rsidP="00247EC2">
                  <w:pPr>
                    <w:rPr>
                      <w:rFonts w:ascii="Arial" w:hAnsi="Arial" w:cs="Arial"/>
                      <w:b/>
                      <w:bCs/>
                      <w:color w:val="4E372E"/>
                      <w:sz w:val="20"/>
                      <w:szCs w:val="20"/>
                    </w:rPr>
                  </w:pPr>
                </w:p>
              </w:tc>
            </w:tr>
            <w:tr w:rsidR="00247EC2" w:rsidTr="00247EC2">
              <w:tc>
                <w:tcPr>
                  <w:tcW w:w="0" w:type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247EC2" w:rsidRDefault="00247EC2" w:rsidP="00247EC2">
                  <w:pPr>
                    <w:bidi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Cornea &amp; External Diseases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247EC2" w:rsidRDefault="00247EC2" w:rsidP="00247EC2">
                  <w:pPr>
                    <w:bidi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bidi="ar-SA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20" name="Picture 20" descr="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247EC2" w:rsidRDefault="00247EC2" w:rsidP="00247EC2">
                  <w:pPr>
                    <w:bidi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bidi="ar-SA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9" name="Picture 19" descr="http://www.icoph.org/img/ic-check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icoph.org/img/ic-check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247EC2" w:rsidRDefault="00247EC2" w:rsidP="00247EC2">
                  <w:pPr>
                    <w:bidi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Siamak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Zarei-Ghanavati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, MD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10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zareis@mums.ac.ir</w:t>
                    </w:r>
                  </w:hyperlink>
                </w:p>
              </w:tc>
            </w:tr>
            <w:tr w:rsidR="00247EC2" w:rsidTr="00247EC2">
              <w:tc>
                <w:tcPr>
                  <w:tcW w:w="0" w:type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247EC2" w:rsidRDefault="00247EC2" w:rsidP="00247EC2">
                  <w:pPr>
                    <w:bidi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Cataract Surgery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247EC2" w:rsidRDefault="00247EC2" w:rsidP="00247EC2">
                  <w:pPr>
                    <w:bidi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bidi="ar-SA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8" name="Picture 18" descr="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247EC2" w:rsidRDefault="00247EC2" w:rsidP="00247EC2">
                  <w:pPr>
                    <w:bidi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bidi="ar-SA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7" name="Picture 17" descr="http://www.icoph.org/img/ic-check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icoph.org/img/ic-check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hideMark/>
                </w:tcPr>
                <w:p w:rsidR="00247EC2" w:rsidRDefault="00247EC2" w:rsidP="00247EC2">
                  <w:pPr>
                    <w:bidi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Siamak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Zarei-Ghanavati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, MD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11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zareis@mums.ac.ir</w:t>
                    </w:r>
                  </w:hyperlink>
                </w:p>
              </w:tc>
            </w:tr>
          </w:tbl>
          <w:p w:rsidR="000372A9" w:rsidRPr="00CA6DF8" w:rsidRDefault="000372A9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A5FF2" w:rsidRDefault="00CA5FF2" w:rsidP="00CA5FF2">
      <w:pPr>
        <w:bidi w:val="0"/>
        <w:jc w:val="center"/>
      </w:pPr>
    </w:p>
    <w:sectPr w:rsidR="00CA5FF2" w:rsidSect="00784B23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2D1"/>
    <w:multiLevelType w:val="multilevel"/>
    <w:tmpl w:val="553A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21B05"/>
    <w:multiLevelType w:val="multilevel"/>
    <w:tmpl w:val="8FE2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F4817"/>
    <w:multiLevelType w:val="multilevel"/>
    <w:tmpl w:val="C7D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FF2"/>
    <w:rsid w:val="000372A9"/>
    <w:rsid w:val="000D548B"/>
    <w:rsid w:val="001C67F5"/>
    <w:rsid w:val="00247EC2"/>
    <w:rsid w:val="002E3BEC"/>
    <w:rsid w:val="00337013"/>
    <w:rsid w:val="0039762E"/>
    <w:rsid w:val="005A5A4E"/>
    <w:rsid w:val="005B0D88"/>
    <w:rsid w:val="00784B23"/>
    <w:rsid w:val="00815091"/>
    <w:rsid w:val="00856096"/>
    <w:rsid w:val="008834F1"/>
    <w:rsid w:val="00AE63D4"/>
    <w:rsid w:val="00B16BEF"/>
    <w:rsid w:val="00B80D87"/>
    <w:rsid w:val="00BC6DE4"/>
    <w:rsid w:val="00C96D96"/>
    <w:rsid w:val="00CA1B4D"/>
    <w:rsid w:val="00CA5FF2"/>
    <w:rsid w:val="00CA6DF8"/>
    <w:rsid w:val="00CF562F"/>
    <w:rsid w:val="00E74D40"/>
    <w:rsid w:val="00EC2CC4"/>
    <w:rsid w:val="00F10FC9"/>
    <w:rsid w:val="00FE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87"/>
    <w:pPr>
      <w:bidi/>
    </w:pPr>
  </w:style>
  <w:style w:type="paragraph" w:styleId="Heading2">
    <w:name w:val="heading 2"/>
    <w:basedOn w:val="Normal"/>
    <w:link w:val="Heading2Char"/>
    <w:uiPriority w:val="9"/>
    <w:qFormat/>
    <w:rsid w:val="00247EC2"/>
    <w:pPr>
      <w:bidi w:val="0"/>
      <w:spacing w:before="360" w:after="60" w:line="240" w:lineRule="auto"/>
      <w:outlineLvl w:val="1"/>
    </w:pPr>
    <w:rPr>
      <w:rFonts w:ascii="Times New Roman" w:eastAsia="Times New Roman" w:hAnsi="Times New Roman" w:cs="Times New Roman"/>
      <w:color w:val="C75B12"/>
      <w:sz w:val="29"/>
      <w:szCs w:val="29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48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47EC2"/>
    <w:rPr>
      <w:rFonts w:ascii="Times New Roman" w:eastAsia="Times New Roman" w:hAnsi="Times New Roman" w:cs="Times New Roman"/>
      <w:color w:val="C75B12"/>
      <w:sz w:val="29"/>
      <w:szCs w:val="29"/>
      <w:lang w:bidi="ar-SA"/>
    </w:rPr>
  </w:style>
  <w:style w:type="paragraph" w:styleId="NormalWeb">
    <w:name w:val="Normal (Web)"/>
    <w:basedOn w:val="Normal"/>
    <w:uiPriority w:val="99"/>
    <w:semiHidden/>
    <w:unhideWhenUsed/>
    <w:rsid w:val="00247EC2"/>
    <w:pPr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7051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7365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127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reis@mums.ac.i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zareis@mums.ac.i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reis@mums.ac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8BB7-6C1A-4F4E-AE54-9E1E8CE9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Najafi</dc:creator>
  <cp:lastModifiedBy>Fazel</cp:lastModifiedBy>
  <cp:revision>10</cp:revision>
  <dcterms:created xsi:type="dcterms:W3CDTF">2015-08-29T03:56:00Z</dcterms:created>
  <dcterms:modified xsi:type="dcterms:W3CDTF">2016-03-08T07:43:00Z</dcterms:modified>
</cp:coreProperties>
</file>