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633849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F7697A" w:rsidRDefault="00F7697A" w:rsidP="00FE0F04">
            <w:pPr>
              <w:bidi w:val="0"/>
              <w:ind w:left="-1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E"/>
            </w:r>
          </w:p>
          <w:p w:rsidR="00CA1B4D" w:rsidRPr="00CA6DF8" w:rsidRDefault="008761A5" w:rsidP="00F7697A">
            <w:pPr>
              <w:bidi w:val="0"/>
              <w:ind w:left="-15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2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633849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633849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5724C4" w:rsidRDefault="00CA1B4D" w:rsidP="005724C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724C4">
              <w:rPr>
                <w:sz w:val="36"/>
                <w:szCs w:val="36"/>
              </w:rPr>
              <w:sym w:font="Wingdings 2" w:char="F0A2"/>
            </w:r>
          </w:p>
          <w:p w:rsidR="00CA1B4D" w:rsidRPr="00CA6DF8" w:rsidRDefault="00CA1B4D" w:rsidP="005724C4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left w:val="nil"/>
            </w:tcBorders>
          </w:tcPr>
          <w:p w:rsidR="008761A5" w:rsidRDefault="008761A5" w:rsidP="008761A5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2"/>
            </w:r>
          </w:p>
          <w:p w:rsidR="00CA1B4D" w:rsidRDefault="008761A5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2"/>
            </w:r>
          </w:p>
          <w:p w:rsidR="00CA1B4D" w:rsidRDefault="008761A5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sz w:val="36"/>
                <w:szCs w:val="36"/>
              </w:rPr>
              <w:sym w:font="Wingdings 2" w:char="F0A2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761A5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of Medicine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761A5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Department of Medical Biotechnology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563D4C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EA0FBC" w:rsidRPr="00DE651F" w:rsidRDefault="00EA0FBC" w:rsidP="00EA0FBC">
            <w:pPr>
              <w:bidi w:val="0"/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</w:pPr>
            <w:r w:rsidRPr="00DE651F"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  <w:t xml:space="preserve">Molecular biology in </w:t>
            </w:r>
            <w:r w:rsidR="00563D4C" w:rsidRPr="00DE651F"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  <w:t>M</w:t>
            </w:r>
            <w:r w:rsidRPr="00DE651F"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  <w:t xml:space="preserve">odern </w:t>
            </w:r>
            <w:r w:rsidR="00563D4C" w:rsidRPr="00DE651F"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  <w:t>M</w:t>
            </w:r>
            <w:r w:rsidRPr="00DE651F"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  <w:t>edicine</w:t>
            </w:r>
            <w:r w:rsidR="00563D4C" w:rsidRPr="00DE651F">
              <w:rPr>
                <w:rFonts w:ascii="Segoe UI" w:eastAsia="Times New Roman" w:hAnsi="Segoe UI" w:cs="Segoe UI"/>
                <w:color w:val="000000"/>
                <w:sz w:val="28"/>
                <w:szCs w:val="28"/>
                <w:lang w:bidi="ar-SA"/>
              </w:rPr>
              <w:t>:</w:t>
            </w:r>
          </w:p>
          <w:p w:rsidR="00EA0FBC" w:rsidRPr="00DE651F" w:rsidRDefault="00563D4C" w:rsidP="00563D4C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651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</w:t>
            </w:r>
            <w:r w:rsidR="00EA0FBC" w:rsidRPr="00DE651F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 </w:t>
            </w:r>
            <w:r w:rsidR="004A164D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Molecular </w:t>
            </w:r>
            <w:r w:rsidR="00EA0FBC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Biotechnology</w:t>
            </w:r>
            <w:r w:rsidR="004A164D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175B4E" w:rsidRPr="00DE651F" w:rsidRDefault="00563D4C" w:rsidP="00563D4C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</w:t>
            </w:r>
            <w:r w:rsidR="00EA0FBC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A164D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Nanomedicine</w:t>
            </w:r>
            <w:proofErr w:type="spellEnd"/>
            <w:r w:rsidR="00DE651F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5F4291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Techn</w:t>
            </w:r>
            <w:r w:rsidR="00EA0FBC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ology</w:t>
            </w:r>
          </w:p>
          <w:p w:rsidR="00EA0FBC" w:rsidRPr="00DE651F" w:rsidRDefault="00563D4C" w:rsidP="00563D4C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</w:t>
            </w:r>
            <w:r w:rsidR="00EA0FBC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- Stem cells Biology</w:t>
            </w:r>
            <w:bookmarkStart w:id="0" w:name="_GoBack"/>
            <w:bookmarkEnd w:id="0"/>
          </w:p>
          <w:p w:rsidR="00B16CDD" w:rsidRPr="00DE651F" w:rsidRDefault="00563D4C" w:rsidP="00563D4C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</w:t>
            </w:r>
            <w:r w:rsidR="00EA0FBC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 </w:t>
            </w:r>
            <w:r w:rsidR="00B16CDD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>RNAi</w:t>
            </w:r>
            <w:r w:rsidR="00EA0FBC" w:rsidRPr="00DE651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Technology</w:t>
            </w:r>
          </w:p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DE651F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DE651F" w:rsidP="00DE651F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Biotechnology; </w:t>
            </w:r>
            <w:r w:rsidR="002E268B">
              <w:rPr>
                <w:color w:val="000000"/>
                <w:sz w:val="24"/>
                <w:szCs w:val="24"/>
              </w:rPr>
              <w:t xml:space="preserve">Molecular biology; </w:t>
            </w:r>
            <w:r w:rsidRPr="00563D4C">
              <w:rPr>
                <w:color w:val="000000"/>
                <w:sz w:val="24"/>
                <w:szCs w:val="24"/>
              </w:rPr>
              <w:t>Modern Medicine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2E268B">
              <w:rPr>
                <w:color w:val="000000"/>
                <w:sz w:val="24"/>
                <w:szCs w:val="24"/>
              </w:rPr>
              <w:t>Nanomedicine</w:t>
            </w:r>
            <w:proofErr w:type="spellEnd"/>
            <w:r w:rsidR="002E26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633849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761A5" w:rsidP="008761A5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Proficiency in English language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633849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2E268B" w:rsidP="008761A5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Valid certificate of studentship and/or working experience in biology related field and/or laboratory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8761A5">
              <w:rPr>
                <w:color w:val="000000"/>
                <w:sz w:val="24"/>
                <w:szCs w:val="24"/>
              </w:rPr>
              <w:t xml:space="preserve"> +985138002288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8761A5">
              <w:rPr>
                <w:color w:val="000000"/>
                <w:sz w:val="24"/>
                <w:szCs w:val="24"/>
              </w:rPr>
              <w:t xml:space="preserve"> +985138002287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F94AC9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8761A5">
              <w:rPr>
                <w:color w:val="000000"/>
                <w:sz w:val="24"/>
                <w:szCs w:val="24"/>
              </w:rPr>
              <w:t xml:space="preserve"> </w:t>
            </w:r>
            <w:r w:rsidR="00F94AC9">
              <w:rPr>
                <w:color w:val="000000"/>
                <w:sz w:val="24"/>
                <w:szCs w:val="24"/>
              </w:rPr>
              <w:t>+989155124927</w:t>
            </w:r>
            <w:r w:rsidR="00A3204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32046">
              <w:rPr>
                <w:color w:val="000000"/>
                <w:sz w:val="24"/>
                <w:szCs w:val="24"/>
              </w:rPr>
              <w:t>Dr.Oskuee</w:t>
            </w:r>
            <w:proofErr w:type="spellEnd"/>
            <w:r w:rsidR="00A32046">
              <w:rPr>
                <w:color w:val="000000"/>
                <w:sz w:val="24"/>
                <w:szCs w:val="24"/>
              </w:rPr>
              <w:t>), +989155280860 (Dr.</w:t>
            </w:r>
            <w:r w:rsidR="00F7697A">
              <w:rPr>
                <w:color w:val="000000"/>
                <w:sz w:val="24"/>
                <w:szCs w:val="24"/>
              </w:rPr>
              <w:t xml:space="preserve"> </w:t>
            </w:r>
            <w:r w:rsidR="00A32046">
              <w:rPr>
                <w:color w:val="000000"/>
                <w:sz w:val="24"/>
                <w:szCs w:val="24"/>
              </w:rPr>
              <w:t>Jamialahmadi)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8761A5">
              <w:rPr>
                <w:color w:val="000000"/>
                <w:sz w:val="24"/>
                <w:szCs w:val="24"/>
              </w:rPr>
              <w:t xml:space="preserve"> </w:t>
            </w:r>
            <w:r w:rsidR="00A32046">
              <w:rPr>
                <w:color w:val="000000"/>
                <w:sz w:val="24"/>
                <w:szCs w:val="24"/>
              </w:rPr>
              <w:t>OskueeKR@mums.ac.ir, jamialahmadikh@mums.ac.ir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8761A5" w:rsidP="008761A5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d</w:t>
            </w:r>
            <w:r w:rsidRPr="00CA6DF8">
              <w:rPr>
                <w:color w:val="000000"/>
                <w:sz w:val="24"/>
                <w:szCs w:val="24"/>
              </w:rPr>
              <w:t>dress</w:t>
            </w:r>
            <w:r w:rsidR="005A5A4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School of Medicine, </w:t>
            </w:r>
            <w:proofErr w:type="spellStart"/>
            <w:r>
              <w:rPr>
                <w:color w:val="000000"/>
                <w:sz w:val="24"/>
                <w:szCs w:val="24"/>
              </w:rPr>
              <w:t>Vakilabad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blvd., Mashhad 9177948564, Iran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5724C4" w:rsidRDefault="005A5A4E" w:rsidP="00A32046">
            <w:pPr>
              <w:bidi w:val="0"/>
              <w:rPr>
                <w:color w:val="000000"/>
                <w:sz w:val="24"/>
                <w:szCs w:val="24"/>
                <w:highlight w:val="yellow"/>
              </w:rPr>
            </w:pPr>
            <w:r w:rsidRPr="00A32046">
              <w:rPr>
                <w:color w:val="000000"/>
                <w:sz w:val="24"/>
                <w:szCs w:val="24"/>
              </w:rPr>
              <w:t>Contact Person Name :</w:t>
            </w:r>
            <w:r w:rsidR="008761A5" w:rsidRPr="00A32046">
              <w:rPr>
                <w:color w:val="000000"/>
                <w:sz w:val="24"/>
                <w:szCs w:val="24"/>
              </w:rPr>
              <w:t xml:space="preserve"> Dr. </w:t>
            </w:r>
            <w:r w:rsidR="00A32046" w:rsidRPr="00A32046">
              <w:rPr>
                <w:color w:val="000000"/>
                <w:sz w:val="24"/>
                <w:szCs w:val="24"/>
              </w:rPr>
              <w:t xml:space="preserve">Reza Kazemi </w:t>
            </w:r>
            <w:r w:rsidR="008761A5" w:rsidRPr="00A32046">
              <w:rPr>
                <w:color w:val="000000"/>
                <w:sz w:val="24"/>
                <w:szCs w:val="24"/>
              </w:rPr>
              <w:t>Oskuee</w:t>
            </w:r>
            <w:r w:rsidR="00A32046" w:rsidRPr="00A32046">
              <w:rPr>
                <w:color w:val="000000"/>
                <w:sz w:val="24"/>
                <w:szCs w:val="24"/>
              </w:rPr>
              <w:t>, Dr. Khadijeh Jamialahmadi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5F4291" w:rsidRPr="005F4291" w:rsidRDefault="005F4291" w:rsidP="002E268B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3513B" w:rsidRPr="00633849" w:rsidRDefault="00A3513B" w:rsidP="00633849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aim of this training cour</w:t>
            </w:r>
            <w:r w:rsidR="003D4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se is to convey a well-founded and 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wide-ranging basis of knowledge for developing, implementing</w:t>
            </w:r>
            <w:r w:rsidR="0063384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evaluating</w:t>
            </w:r>
            <w:r w:rsidR="0063384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3D4EB9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Molecular Biotechnology</w:t>
            </w:r>
            <w:r w:rsid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3D4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Stem C</w:t>
            </w:r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ells Biology,</w:t>
            </w:r>
            <w:r w:rsidR="00DE651F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RNAi</w:t>
            </w:r>
            <w:proofErr w:type="spellEnd"/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Technology</w:t>
            </w:r>
            <w:r w:rsidR="00DE651F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3D4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 N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ano</w:t>
            </w:r>
            <w:r w:rsidR="003D4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iotechnological methods. </w:t>
            </w:r>
            <w:r w:rsidR="004A164D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program concentrates on biological processes, technologies and skill sets used in the research and</w:t>
            </w:r>
            <w:r w:rsidR="004A164D" w:rsidRPr="00A3513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development of </w:t>
            </w:r>
            <w:r w:rsidR="004A164D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molecular</w:t>
            </w:r>
            <w:r w:rsidR="006338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diagnosis of different disease</w:t>
            </w:r>
            <w:r w:rsidR="004A164D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wi</w:t>
            </w:r>
            <w:r w:rsidR="006338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th a particular focus on cancer</w:t>
            </w:r>
            <w:r w:rsidR="004A164D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and therapeutic products that can </w:t>
            </w:r>
            <w:r w:rsidR="006338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be applied</w:t>
            </w:r>
            <w:r w:rsidR="004A164D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on molecular targets.</w:t>
            </w:r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E268B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training course entails theory and practical sessions </w:t>
            </w:r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entailing the rationale, application</w:t>
            </w:r>
            <w:r w:rsidR="006338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procedure of techniques that </w:t>
            </w:r>
            <w:proofErr w:type="gramStart"/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are commonly used</w:t>
            </w:r>
            <w:proofErr w:type="gramEnd"/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 </w:t>
            </w:r>
            <w:r w:rsidR="003D4EB9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Molecular Biotechnology</w:t>
            </w:r>
            <w:r w:rsidR="003D4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="003D4EB9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Stem </w:t>
            </w:r>
            <w:r w:rsidR="003D4EB9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Cells </w:t>
            </w:r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Biology,</w:t>
            </w:r>
            <w:r w:rsidR="00DE651F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RNAi</w:t>
            </w:r>
            <w:proofErr w:type="spellEnd"/>
            <w:r w:rsidR="00DE651F" w:rsidRP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Technology</w:t>
            </w:r>
            <w:r w:rsidR="0063384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="00DE651F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E65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and </w:t>
            </w:r>
            <w:r w:rsidR="003D4EB9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</w:t>
            </w:r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</w:t>
            </w:r>
            <w:r w:rsidR="003D4E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</w:t>
            </w:r>
            <w:r w:rsidR="00DE651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edicine</w:t>
            </w:r>
            <w:r w:rsidR="002E268B"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 this way, the course graduates shoul</w:t>
            </w:r>
            <w:r w:rsidR="0063384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 find themselves in a position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where they are able to assess the manifold interrelationships and effects of these new </w:t>
            </w:r>
            <w:r w:rsidR="004A164D"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techniques</w:t>
            </w:r>
            <w:r w:rsidRPr="005F42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On this basis, they will have the ability to elaborate useful applications for their own institutions.</w:t>
            </w:r>
          </w:p>
          <w:p w:rsidR="002E268B" w:rsidRPr="005F4291" w:rsidRDefault="002E268B" w:rsidP="002E268B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686210" w:rsidRPr="00DE651F" w:rsidRDefault="00686210" w:rsidP="00DE651F">
            <w:pPr>
              <w:pStyle w:val="Heading1"/>
              <w:jc w:val="both"/>
              <w:outlineLvl w:val="0"/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</w:pPr>
            <w:proofErr w:type="gramStart"/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The course is of </w:t>
            </w:r>
            <w:r w:rsidR="005724C4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7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-10 </w:t>
            </w:r>
            <w:r w:rsidR="005724C4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D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ays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duration and will </w:t>
            </w:r>
            <w:r w:rsidR="00633849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consist of theory and practical tasks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with hands on experience in DNA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/RNA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based techniques such as</w:t>
            </w:r>
            <w:r w:rsidR="002E268B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DNA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/RNA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extraction and quantification, PCR, RT-PCR, 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Real-time PCR, 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gel electrophoresis, restriction fragment length polymorphism</w:t>
            </w:r>
            <w:r w:rsidR="00A3513B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, microRNA 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extraction</w:t>
            </w:r>
            <w:r w:rsidR="00A3513B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</w:t>
            </w:r>
            <w:r w:rsidR="00A32046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a</w:t>
            </w:r>
            <w:r w:rsidR="00A3513B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nd quantification,</w:t>
            </w:r>
            <w:r w:rsidR="00EA0FBC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advanced cloning strategies vital to mammalian cell line development for protein production,</w:t>
            </w:r>
            <w:r w:rsidR="00DE651F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Protein Expression Technologies</w:t>
            </w:r>
            <w:r w:rsid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, </w:t>
            </w:r>
            <w:r w:rsidR="00A3513B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gene delivery using non-viral vectors, stem cell isolation and culture</w:t>
            </w:r>
            <w:r w:rsidR="00633849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,</w:t>
            </w:r>
            <w:r w:rsidR="003D4EB9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and  N</w:t>
            </w:r>
            <w:r w:rsidR="00EA0FBC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ano</w:t>
            </w:r>
            <w:r w:rsidR="003D4EB9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 B</w:t>
            </w:r>
            <w:r w:rsidR="00EA0FBC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iotechnology</w:t>
            </w:r>
            <w:r w:rsidR="00EA0F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  <w:r w:rsidRPr="00175B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Application of the techniques in diagnosis </w:t>
            </w:r>
            <w:r w:rsidR="00A3513B"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 xml:space="preserve">and treatment of pathogenic diseases </w:t>
            </w:r>
            <w:r w:rsidRPr="00DE651F">
              <w:rPr>
                <w:rFonts w:asciiTheme="majorBidi" w:eastAsiaTheme="minorHAns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bidi="fa-IR"/>
              </w:rPr>
              <w:t>will be discussed. </w:t>
            </w:r>
          </w:p>
          <w:p w:rsidR="000372A9" w:rsidRPr="005F4291" w:rsidRDefault="000372A9" w:rsidP="00175B4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2E268B" w:rsidRPr="005F4291" w:rsidRDefault="002E268B" w:rsidP="00A32046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75B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course is suitable for young scientists, clinicians, academics</w:t>
            </w:r>
            <w:r w:rsidRPr="005F429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technical officers, lab technicians</w:t>
            </w:r>
            <w:r w:rsidRPr="00175B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students awaiting higher studies in biological sciences and individuals who are interested in pursuing </w:t>
            </w:r>
            <w:r w:rsidR="00A3204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molecular techniques</w:t>
            </w:r>
            <w:r w:rsidRPr="00175B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 their scientific fields. </w:t>
            </w:r>
          </w:p>
        </w:tc>
      </w:tr>
    </w:tbl>
    <w:p w:rsidR="00686210" w:rsidRDefault="00686210" w:rsidP="00A3513B">
      <w:pPr>
        <w:bidi w:val="0"/>
      </w:pPr>
    </w:p>
    <w:sectPr w:rsidR="00686210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09DD"/>
    <w:rsid w:val="000372A9"/>
    <w:rsid w:val="00175B4E"/>
    <w:rsid w:val="002E268B"/>
    <w:rsid w:val="002E3BEC"/>
    <w:rsid w:val="003D4EB9"/>
    <w:rsid w:val="004A164D"/>
    <w:rsid w:val="00563D4C"/>
    <w:rsid w:val="005724C4"/>
    <w:rsid w:val="005A5A4E"/>
    <w:rsid w:val="005F4291"/>
    <w:rsid w:val="00633849"/>
    <w:rsid w:val="00686210"/>
    <w:rsid w:val="006D324D"/>
    <w:rsid w:val="00784B23"/>
    <w:rsid w:val="00815091"/>
    <w:rsid w:val="00856096"/>
    <w:rsid w:val="008637CC"/>
    <w:rsid w:val="008761A5"/>
    <w:rsid w:val="00A32046"/>
    <w:rsid w:val="00A3513B"/>
    <w:rsid w:val="00B16CDD"/>
    <w:rsid w:val="00C96D96"/>
    <w:rsid w:val="00CA1B4D"/>
    <w:rsid w:val="00CA5FF2"/>
    <w:rsid w:val="00CA6DF8"/>
    <w:rsid w:val="00CF562F"/>
    <w:rsid w:val="00DE651F"/>
    <w:rsid w:val="00E74D40"/>
    <w:rsid w:val="00EA0FBC"/>
    <w:rsid w:val="00F7697A"/>
    <w:rsid w:val="00F94AC9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4D"/>
    <w:pPr>
      <w:bidi/>
    </w:pPr>
  </w:style>
  <w:style w:type="paragraph" w:styleId="Heading1">
    <w:name w:val="heading 1"/>
    <w:basedOn w:val="Normal"/>
    <w:link w:val="Heading1Char"/>
    <w:uiPriority w:val="9"/>
    <w:qFormat/>
    <w:rsid w:val="00DE651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61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B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6210"/>
  </w:style>
  <w:style w:type="character" w:customStyle="1" w:styleId="Heading1Char">
    <w:name w:val="Heading 1 Char"/>
    <w:basedOn w:val="DefaultParagraphFont"/>
    <w:link w:val="Heading1"/>
    <w:uiPriority w:val="9"/>
    <w:rsid w:val="00DE651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651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61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B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6210"/>
  </w:style>
  <w:style w:type="character" w:customStyle="1" w:styleId="Heading1Char">
    <w:name w:val="Heading 1 Char"/>
    <w:basedOn w:val="DefaultParagraphFont"/>
    <w:link w:val="Heading1"/>
    <w:uiPriority w:val="9"/>
    <w:rsid w:val="00DE651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9493-55B3-43CC-89A0-566DD3BC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7</cp:revision>
  <dcterms:created xsi:type="dcterms:W3CDTF">2015-09-07T08:37:00Z</dcterms:created>
  <dcterms:modified xsi:type="dcterms:W3CDTF">2016-03-09T17:12:00Z</dcterms:modified>
</cp:coreProperties>
</file>